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92"/>
        <w:jc w:val="center"/>
        <w:outlineLvl w:val="1"/>
        <w:rPr/>
      </w:pP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Сроки, мета и порядок подачи заявления на участие в итоговом сочинении (изложении) в 202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/202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 xml:space="preserve"> учебном году. Порядок информирования о результатах итогового сочинения. Направление тем.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292"/>
        <w:jc w:val="both"/>
        <w:outlineLvl w:val="1"/>
        <w:rPr/>
      </w:pP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Сроки проведения итогового сочинения (изложения) в 202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/202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color w:val="2B2B2B"/>
          <w:spacing w:val="8"/>
          <w:sz w:val="28"/>
          <w:szCs w:val="28"/>
          <w:lang w:eastAsia="ru-RU"/>
        </w:rPr>
        <w:t xml:space="preserve"> учебном году</w:t>
      </w:r>
    </w:p>
    <w:tbl>
      <w:tblPr>
        <w:tblW w:w="9354" w:type="dxa"/>
        <w:jc w:val="left"/>
        <w:tblInd w:w="90" w:type="dxa"/>
        <w:tblCellMar>
          <w:top w:w="105" w:type="dxa"/>
          <w:left w:w="105" w:type="dxa"/>
          <w:bottom w:w="105" w:type="dxa"/>
          <w:right w:w="105" w:type="dxa"/>
        </w:tblCellMar>
        <w:tblLook w:firstRow="1" w:noVBand="1" w:lastRow="0" w:firstColumn="1" w:lastColumn="0" w:noHBand="0" w:val="04a0"/>
      </w:tblPr>
      <w:tblGrid>
        <w:gridCol w:w="2974"/>
        <w:gridCol w:w="2834"/>
        <w:gridCol w:w="3546"/>
      </w:tblGrid>
      <w:tr>
        <w:trPr/>
        <w:tc>
          <w:tcPr>
            <w:tcW w:w="2974" w:type="dxa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4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pacing w:val="8"/>
                <w:sz w:val="28"/>
                <w:szCs w:val="28"/>
                <w:lang w:eastAsia="ru-RU"/>
              </w:rPr>
              <w:t>Основной срок</w:t>
            </w:r>
          </w:p>
        </w:tc>
        <w:tc>
          <w:tcPr>
            <w:tcW w:w="6380" w:type="dxa"/>
            <w:gridSpan w:val="2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4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pacing w:val="8"/>
                <w:sz w:val="28"/>
                <w:szCs w:val="28"/>
                <w:lang w:eastAsia="ru-RU"/>
              </w:rPr>
              <w:t>Дополнительные сроки</w:t>
            </w:r>
          </w:p>
        </w:tc>
      </w:tr>
      <w:tr>
        <w:trPr/>
        <w:tc>
          <w:tcPr>
            <w:tcW w:w="2974" w:type="dxa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42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декабря 202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834" w:type="dxa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42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февраля 202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546" w:type="dxa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42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апреля 202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>
      <w:pPr>
        <w:pStyle w:val="Heading2"/>
        <w:shd w:val="clear" w:color="auto" w:fill="FFFFFF"/>
        <w:spacing w:beforeAutospacing="0" w:before="0" w:afterAutospacing="0" w:after="292"/>
        <w:jc w:val="both"/>
        <w:rPr>
          <w:rStyle w:val="Strong"/>
          <w:b/>
          <w:b/>
          <w:bCs/>
          <w:color w:val="2B2B2B"/>
          <w:spacing w:val="8"/>
          <w:sz w:val="28"/>
          <w:szCs w:val="28"/>
        </w:rPr>
      </w:pPr>
      <w:r>
        <w:rPr>
          <w:b/>
          <w:bCs/>
          <w:color w:val="2B2B2B"/>
          <w:spacing w:val="8"/>
          <w:sz w:val="28"/>
          <w:szCs w:val="28"/>
        </w:rPr>
      </w:r>
    </w:p>
    <w:p>
      <w:pPr>
        <w:pStyle w:val="Heading2"/>
        <w:shd w:val="clear" w:color="auto" w:fill="FFFFFF"/>
        <w:spacing w:beforeAutospacing="0" w:before="0" w:afterAutospacing="0" w:after="292"/>
        <w:jc w:val="both"/>
        <w:rPr>
          <w:b w:val="false"/>
          <w:b w:val="false"/>
          <w:bCs w:val="false"/>
          <w:color w:val="2B2B2B"/>
          <w:sz w:val="28"/>
          <w:szCs w:val="28"/>
        </w:rPr>
      </w:pPr>
      <w:r>
        <w:rPr>
          <w:rStyle w:val="Strong"/>
          <w:b/>
          <w:bCs/>
          <w:color w:val="2B2B2B"/>
          <w:spacing w:val="8"/>
          <w:sz w:val="28"/>
          <w:szCs w:val="28"/>
        </w:rPr>
        <w:t>ПОРЯДОК ПОДАЧИ ЗАЯВЛЕНИЯ НА УЧАСТИЕ В ИТОГОВОМ СОЧИНЕНИИ (ИЗЛОЖЕНИИ)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Для участия в итоговом сочинении (изложении) необходимо подать заявление и согласие на обработку персональных данных не позднее чем за две недели до начала проведения итогового сочинения (изложения):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обучающимся – в образовательные организации, в которых обучающиеся осваивают образовательные программы среднего общего образования;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лицам, проходящим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 – в образовательные организации по выбору указанных лиц;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лицам, участвующим в итоговом сочинении по желанию – в Управление образованием Качканарского городского округа по адресу: Свердловская обл. г. Качканар, 5 микрорайон, дом 71, каб 2;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 со справкой об обучении, участвующим в итоговом сочинении по желанию — в организации, осуществляющие образовательную деятельность, в которых указанные лица восстанавливаются на срок, необходимый для прохождения ГИА-11.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Обучающиеся, лица с ограниченными возможностями здоровья при подаче заявления предъявляют копию рекомендаций психолого-медико-педагогической комиссии, а обучающиеся дети-инвалиды и инвалиды — оригинал или заверенную в установленном порядке копию справки, подтверждающей факт установления инвалидности, выданной федеральным государственным учреждением медико-социальной экспертизы.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Лица, участвующие в сочинении по желанию, самостоятельно выбирают дату участия в итоговом сочинении из числа установленных расписанием проведения итогового сочинения (изложения). Выбранную дату участия в итоговом сочинении такие лица указывают в заявлении.</w:t>
      </w:r>
    </w:p>
    <w:p>
      <w:pPr>
        <w:pStyle w:val="Heading2"/>
        <w:shd w:val="clear" w:color="auto" w:fill="FFFFFF"/>
        <w:spacing w:beforeAutospacing="0" w:before="0" w:afterAutospacing="0" w:after="292"/>
        <w:jc w:val="both"/>
        <w:rPr>
          <w:b w:val="false"/>
          <w:b w:val="false"/>
          <w:bCs w:val="false"/>
          <w:color w:val="2B2B2B"/>
          <w:sz w:val="28"/>
          <w:szCs w:val="28"/>
        </w:rPr>
      </w:pPr>
      <w:r>
        <w:rPr>
          <w:rStyle w:val="Strong"/>
          <w:b/>
          <w:bCs/>
          <w:color w:val="2B2B2B"/>
          <w:spacing w:val="8"/>
          <w:sz w:val="28"/>
          <w:szCs w:val="28"/>
        </w:rPr>
        <w:t>ОЗНАКОМЛЕНИЕ С РЕЗУЛЬТАТАМИ ИТОГОВОГО СОЧИНЕНИЯ (ИЗЛОЖЕНИЯ) И СРОК ДЕЙСТВИЯ ИТОГОВОГО СОЧИНЕНИЯ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С результатами итогового сочинения (изложения) участники могут ознакомиться в образовательных организациях или в местах регистрации на участие в итоговом сочинении (изложении). По решению органа исполнительной власти субъекта Российской Федерации, осуществляющего государственное управление в сфере образования, ознакомление участников с результатами итогового сочинения (изложения) может быть организовано в информационно-телекоммуникационной сети «Интернет» в соответствии с требованиями законодательства Российской Федерации в области защиты персональных данных.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Результат итогового сочинения (изложения) как допуск к ГИА-11 действителен бессрочно.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Итоговое сочинение в случае представления его при приеме на обучение по программам бакалавриата и программам специалитета действительно в течение четырех лет, следующих за годом написания сочинения. Выпускники прошлых лет могут участвовать в написании итогового сочинения, в том числе при наличии у них итогового сочинения прошлых лет.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Выпускники прошлых лет, изъявившие желание повторно участвовать в написании итогового сочинения, вправе предоставить в образовательные организации высшего образования итоговое сочинение только текущего года, при этом итоговое сочинение прошлого года аннулируется.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/>
      </w:pPr>
      <w:r>
        <w:rPr>
          <w:rStyle w:val="Strong"/>
          <w:color w:val="1A1A1A"/>
          <w:spacing w:val="8"/>
          <w:sz w:val="28"/>
          <w:szCs w:val="28"/>
        </w:rPr>
        <w:t xml:space="preserve">ИТОГОВОЕ СОЧИНЕНИЕ (ИЗЛОЖЕНИЕ) КАК УСЛОВИЕ ДОПУСКА К ГИА-11 </w:t>
      </w:r>
      <w:r>
        <w:rPr>
          <w:color w:val="1A1A1A"/>
          <w:sz w:val="28"/>
          <w:szCs w:val="28"/>
        </w:rPr>
        <w:t>проводится для: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обучающихся XI (XII) классов;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иностранных граждан, лиц без гражданства, в том числе соотечественников за рубежом, беженцев и вынужденных переселенцев, освоивших образовательные программы среднего общего образования в очной, очно-заочной или заочной формах, а также для лиц, освоивших образовательные программы среднего общего образования в форме семейного образования или самообразования;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лиц, обучавшихся по не имеющей государственной аккредитации образовательной программе среднего общего образования, а также обучающихся, получающих среднее общее образование в рамках освоения 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интегрированных с образовательными программами основного общего и среднего общего образования (в случае прохождения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образовании);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обучающихся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обучающихся с ограниченными возможностями здоровья, детей-инвалидов и инвалидов по образовательным программам среднего общего образования.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/>
      </w:pPr>
      <w:r>
        <w:rPr>
          <w:rStyle w:val="Strong"/>
          <w:color w:val="1A1A1A"/>
          <w:spacing w:val="8"/>
          <w:sz w:val="28"/>
          <w:szCs w:val="28"/>
        </w:rPr>
        <w:t xml:space="preserve">ИТОГОВОЕ СОЧИНЕНИЕ В ЦЕЛЯХ ИСПОЛЬЗОВАНИЯ ЕГО РЕЗУЛЬТАТОВ ПРИ ПРИЕМЕ В ОБРАЗОВАТЕЛЬНЫЕ ОРГАНИЗАЦИИ ВЫСШЕГО ОБРАЗОВАНИЯ ПО ЖЕЛАНИЮ </w:t>
      </w:r>
      <w:r>
        <w:rPr>
          <w:color w:val="1A1A1A"/>
          <w:sz w:val="28"/>
          <w:szCs w:val="28"/>
        </w:rPr>
        <w:t>также может проводиться для: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лиц, освоивших образовательные программы среднего общего образования в предыдущие годы и имеющих документ об образовании, подтверждающий получение среднего общего образования (или образовательные программы среднего (полного) общего образования — для лиц, получивших документ об образовании, подтверждающий получение среднего (полного) общего образования, до 1 сентября 2013 года);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граждан, имеющих среднее общее образование, полученное в иностранных образовательных организациях;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лиц, обучающихся по образовательным программам среднего профессионального образования;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лиц, получающих среднее общее образование в иностранных образовательных организациях;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лиц, допущенных к ГИА-11 в предыдущие годы, но не прошедших ГИА-11 или получивших на ГИА-11 неудовлетворительные результаты более чем по одному обязательному учебному предмету, либо получивших повторно неудовлетворительный результат по одному из этих предметов на ГИА-11 в дополнительные сроки.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rStyle w:val="Strong"/>
          <w:color w:val="1A1A1A"/>
          <w:spacing w:val="8"/>
          <w:sz w:val="28"/>
          <w:szCs w:val="28"/>
        </w:rPr>
        <w:t>ИЗЛОЖЕНИЕ ВПРАВЕ ПИСАТЬ СЛЕДУЮЩИЕ КАТЕГОРИИ ЛИЦ: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 XI (XII) классов с ограниченными возможностями здоровья;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лица, обучающиеся по не имеющей государственной аккредитации образовательной программе среднего общего образования, а также обучающиеся, получающие среднее общее образование в рамках освоения 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интегрированных с образовательными программами основного общего и среднего общего образования (в случае прохождения ГИА-11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образовании) с ограниченными возможностями здоровья;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дети-инвалиды и инвалиды;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 в специальных учебно-воспитательных учреждениях закрытого типа, а также в учреждениях, исполняющих наказание в виде лишения свободы;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rStyle w:val="Strong"/>
          <w:color w:val="1A1A1A"/>
          <w:spacing w:val="8"/>
          <w:sz w:val="28"/>
          <w:szCs w:val="28"/>
        </w:rPr>
        <w:t>ПОВТОРНО ДОПУСКАЮТСЯ К НАПИСАНИЮ ИТОГОВОГО СОЧИНЕНИЯ (ИЗЛОЖЕНИЯ) в дополнительные сроки в текущем учебном году: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 XI (XII) классов, лица, проходящие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образовании, получившие по итоговому сочинению (изложению) неудовлетворительный результат («незачет»);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 XI (XII) классов, лица, проходящие ГИА экстерном в организации,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образовании, удаленные с итогового сочинения (изложения) за нарушение требований, установленных пунктом 27 настоящего Порядка;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участники итогового сочинения (изложения), не явившиеся на итоговое сочинение (изложение) по уважительным причинам (болезнь или иные обстоятельства), подтвержденным документально;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участники итогового сочинения (изложения), не завершившие написание итогового сочинения (изложения) по уважительным причинам (болезнь или иные обстоятельства), подтвержденным документально.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Обучающиеся, получившие неудовлетворительный результат («незачет») за итоговое сочинение (изложение), могут быть повторно допущены к участию в итоговом сочинении (изложении) в текущем учебном году, но не более двух раз и только в дополнительные сроки, установленные расписанием проведения итогового сочинения (изложения).</w:t>
      </w:r>
    </w:p>
    <w:p>
      <w:pPr>
        <w:pStyle w:val="NormalWeb"/>
        <w:shd w:val="clear" w:color="auto" w:fill="FFFFFF"/>
        <w:spacing w:lineRule="atLeast" w:line="360" w:beforeAutospacing="0" w:before="0" w:afterAutospacing="0" w:after="420"/>
        <w:jc w:val="both"/>
        <w:rPr/>
      </w:pPr>
      <w:r>
        <w:rPr>
          <w:b/>
          <w:color w:val="1A1A1A"/>
          <w:sz w:val="28"/>
          <w:szCs w:val="28"/>
        </w:rPr>
        <w:t>Направление тем итогового сочинения в 202</w:t>
      </w:r>
      <w:r>
        <w:rPr>
          <w:b/>
          <w:color w:val="1A1A1A"/>
          <w:sz w:val="28"/>
          <w:szCs w:val="28"/>
        </w:rPr>
        <w:t>5</w:t>
      </w:r>
      <w:r>
        <w:rPr>
          <w:b/>
          <w:color w:val="1A1A1A"/>
          <w:sz w:val="28"/>
          <w:szCs w:val="28"/>
        </w:rPr>
        <w:t>/202</w:t>
      </w:r>
      <w:r>
        <w:rPr>
          <w:b/>
          <w:color w:val="1A1A1A"/>
          <w:sz w:val="28"/>
          <w:szCs w:val="28"/>
        </w:rPr>
        <w:t>6</w:t>
      </w:r>
      <w:r>
        <w:rPr>
          <w:b/>
          <w:color w:val="1A1A1A"/>
          <w:sz w:val="28"/>
          <w:szCs w:val="28"/>
        </w:rPr>
        <w:t xml:space="preserve"> учебном году</w:t>
      </w:r>
    </w:p>
    <w:p>
      <w:pPr>
        <w:pStyle w:val="Normal"/>
        <w:shd w:val="clear" w:color="auto" w:fill="FFFFFF"/>
        <w:spacing w:lineRule="atLeast" w:line="360" w:before="0" w:after="0"/>
        <w:ind w:firstLine="708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 информации на сайте Федерального института педагогических измерений (ФИПИ), список тем для итогового сочинения, которое пишут выпускники 11-х классов, </w:t>
      </w:r>
      <w:hyperlink r:id="rId2" w:tgtFrame="_blank">
        <w:r>
          <w:rPr>
            <w:rStyle w:val="ListLabel1"/>
            <w:rFonts w:eastAsia="Times New Roman" w:cs="Times New Roman" w:ascii="Times New Roman" w:hAnsi="Times New Roman"/>
            <w:color w:val="1380FF"/>
            <w:sz w:val="28"/>
            <w:szCs w:val="28"/>
            <w:u w:val="single"/>
            <w:lang w:eastAsia="ru-RU"/>
          </w:rPr>
          <w:t>формируется</w:t>
        </w:r>
      </w:hyperlink>
      <w:r>
        <w:rPr>
          <w:rFonts w:eastAsia="Times New Roman" w:cs="Times New Roman" w:ascii="Times New Roman" w:hAnsi="Times New Roman"/>
          <w:color w:val="1380FF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из закрытого, ежегодно пополняемого банка, который в настоящее время включает около 2 000 тем.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‍</w:t>
      </w:r>
    </w:p>
    <w:p>
      <w:pPr>
        <w:pStyle w:val="Normal"/>
        <w:shd w:val="clear" w:color="auto" w:fill="FFFFFF"/>
        <w:spacing w:lineRule="atLeast" w:line="360" w:before="0" w:after="0"/>
        <w:ind w:firstLine="708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На итоговом сочинении ребятам могут попасться либо темы, которые уже использовались в прошлые годы, либо совершенно новые. И хотя сам список тем держится в секрете, его </w:t>
      </w:r>
      <w:hyperlink r:id="rId3" w:tgtFrame="_blank">
        <w:r>
          <w:rPr>
            <w:rStyle w:val="ListLabel1"/>
            <w:rFonts w:eastAsia="Times New Roman" w:cs="Times New Roman" w:ascii="Times New Roman" w:hAnsi="Times New Roman"/>
            <w:color w:val="1380FF"/>
            <w:sz w:val="28"/>
            <w:szCs w:val="28"/>
            <w:u w:val="single"/>
            <w:lang w:eastAsia="ru-RU"/>
          </w:rPr>
          <w:t>структура</w:t>
        </w:r>
      </w:hyperlink>
      <w:r>
        <w:rPr>
          <w:rFonts w:eastAsia="Times New Roman" w:cs="Times New Roman" w:ascii="Times New Roman" w:hAnsi="Times New Roman"/>
          <w:color w:val="1380FF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опубликована в открытом доступе. Она включает три раздела с несколькими подразделами в каждом.</w:t>
      </w:r>
    </w:p>
    <w:p>
      <w:pPr>
        <w:pStyle w:val="Normal"/>
        <w:shd w:val="clear" w:color="auto" w:fill="FFFFFF"/>
        <w:spacing w:lineRule="atLeast" w:line="36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‍</w:t>
      </w:r>
    </w:p>
    <w:p>
      <w:pPr>
        <w:pStyle w:val="Normal"/>
        <w:shd w:val="clear" w:color="auto" w:fill="FFFFFF"/>
        <w:spacing w:lineRule="atLeast" w:line="360" w:before="0" w:after="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1. Духовно-нравственные ориентиры в жизни человека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1.1. Внутренний мир человека и его личностные качества.</w:t>
        <w:br/>
        <w:t>1.2. Отношение человека к другому человеку (окружению), нравственные идеалы и выбор между добром и злом.</w:t>
        <w:br/>
        <w:t>1.3. Познание человеком самого себя.</w:t>
        <w:br/>
        <w:t>1.4. Свобода человека и её ограничения.</w:t>
        <w:br/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2. Семья, общество, Отечество в жизни человека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2.1. Семья, род; семейные ценности и традиции.</w:t>
        <w:br/>
        <w:t>2.2. Человек и общество.</w:t>
        <w:br/>
        <w:t>2.3. Родина, государство, гражданская позиция человека.</w:t>
        <w:br/>
      </w:r>
    </w:p>
    <w:p>
      <w:pPr>
        <w:pStyle w:val="Normal"/>
        <w:shd w:val="clear" w:color="auto" w:fill="FFFFFF"/>
        <w:spacing w:lineRule="atLeast" w:line="360" w:before="0" w:after="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3. Природа и культура в жизни человека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3.1. Природа и человек.</w:t>
        <w:br/>
        <w:t>3.2. Наука и человек.</w:t>
        <w:br/>
        <w:t>3.3. Искусство и человек.</w:t>
        <w:br/>
        <w:t>3.4. Язык и языковая личность.</w:t>
      </w:r>
    </w:p>
    <w:p>
      <w:pPr>
        <w:pStyle w:val="Normal"/>
        <w:rPr/>
      </w:pPr>
      <w:r>
        <w:rPr/>
      </w:r>
    </w:p>
    <w:p>
      <w:pPr>
        <w:pStyle w:val="Norma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 каждый комплект тем итогового сочинения будут включены по две темы из каждого раздела банка:</w:t>
      </w:r>
      <w:r>
        <w:rPr>
          <w:rFonts w:cs="Times New Roman" w:ascii="Times New Roman" w:hAnsi="Times New Roman"/>
          <w:sz w:val="28"/>
          <w:szCs w:val="28"/>
        </w:rPr>
        <w:br/>
        <w:br/>
        <w:t>темы 1, 2 «Духовно-нравственные ориентиры в жизни человека»;</w:t>
        <w:br/>
        <w:t>темы 3, 4 «Семья, общество, Отечество в жизни человека»;</w:t>
        <w:br/>
        <w:t>темы 5, 6 «Природа и культура в жизни человека».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Комментарии к разделам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Раздел 1. Духовно-нравственные ориентиры в жизни человека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Темы этого раздела: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связаны с вопросами, которые человек задаёт себе сам, в том числе в ситуации нравственного выбора;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нацеливают на рассуждение о нравственных идеалах и моральных нормах, сиюминутном и вечном, добре и зле, о свободе и ответственности;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касаются размышлений о смысле жизни, гуманном и антигуманном поступках, их мотивах, причинах внутреннего разлада и об угрызениях совести;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позволяют задуматься об образе жизни человека, о выборе им жизненного пути, значимой цели и средствах её достижения, любви и дружбе;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побуждают к самоанализу, осмыслению опыта других людей (или поступков литературных героев), стремящихся понять себя.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Раздел 2. Семья, общество, Отечество в жизни человека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Темы этого раздела: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связаны со взглядом на человека как представителя семьи, социума, народа, поколения, эпохи;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нацеливают на размышление о семейных и общественных ценностях, традициях и обычаях, межличностных отношениях и влиянии среды на человека;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касаются вопросов исторического времени, гражданских идеалов, важности сохранения исторической памяти, роли личности в истории;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позволяют задуматься о славе и бесславии, личном и общественном, своём вкладе в общественный прогресс;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побуждают рассуждать об образовании и о воспитании, споре поколений и об общественном благополучии, о народном подвиге и направлениях развития общества.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Раздел 3. Природа и культура в жизни человека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Темы этого раздела: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связаны с философскими, социальными, этическими, эстетическими проблемами, вопросами экологии;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нацеливают на рассуждение об искусстве и о науке, о феномене таланта, ценности художественного творчества и научного поиска, о собственных предпочтениях или интересах в области искусства и науки, о языке (в том числе родном) и языковой культуре;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касаются миссии художника и ответственности человека науки, значения великих творений искусства и научных открытий (в том числе в связи с юбилейными датами), важности;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позволяют осмысливать роль культуры в жизни человека, связь языка с историей страны, важность бережного отношения к языку, сохранения исторической памяти и традиционных ценностей;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→ побуждают задуматься о взаимодействии человека и природы, направлениях развития культуры, влиянии искусства и новых технологий на человека.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Образец комплекта тем: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Выберите только ОДНУ из предложенных тем итогового сочинения.</w:t>
      </w:r>
      <w:r>
        <w:rPr>
          <w:rFonts w:cs="Times New Roman" w:ascii="Times New Roman" w:hAnsi="Times New Roman"/>
          <w:sz w:val="28"/>
          <w:szCs w:val="28"/>
        </w:rPr>
        <w:br/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147. О чём люди чаще всего мечтают?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249. Чем опасно равнодушие?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311. Какая из мыслей М.Ю. Лермонтова Вам ближе: «Я ищу свободы и покоя» или «Так жизнь скучна, когда боренья нет»?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411. Что значит быть гражданином?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501. Человек науки – каким он должен быть?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629. Разделяете ли Вы мнение о том, что речевая культура человека – зеркало его духовной культуры?</w:t>
      </w:r>
      <w:r>
        <w:rPr>
          <w:rFonts w:cs="Times New Roman" w:ascii="Times New Roman" w:hAnsi="Times New Roman"/>
          <w:sz w:val="28"/>
          <w:szCs w:val="28"/>
        </w:rPr>
        <w:br/>
      </w:r>
    </w:p>
    <w:p>
      <w:pPr>
        <w:pStyle w:val="Normal"/>
        <w:shd w:val="clear" w:color="auto" w:fill="FFFFFF"/>
        <w:rPr/>
      </w:pPr>
      <w:r>
        <w:rPr>
          <w:rFonts w:cs="Times New Roman" w:ascii="Times New Roman" w:hAnsi="Times New Roman"/>
          <w:sz w:val="28"/>
          <w:szCs w:val="28"/>
        </w:rPr>
        <w:t xml:space="preserve">Успешное написание итогового сочинения является для выпускников 11 классов допуском к государственной итоговой аттестации. </w:t>
      </w:r>
      <w:hyperlink r:id="rId4">
        <w:r>
          <w:rPr>
            <w:rStyle w:val="InternetLink"/>
            <w:rFonts w:cs="Times New Roman" w:ascii="Times New Roman" w:hAnsi="Times New Roman"/>
            <w:color w:val="auto"/>
            <w:sz w:val="28"/>
            <w:szCs w:val="28"/>
          </w:rPr>
          <w:t>Оценивается сочинение</w:t>
        </w:r>
      </w:hyperlink>
      <w:r>
        <w:rPr>
          <w:rStyle w:val="InternetLink"/>
          <w:rFonts w:cs="Times New Roman" w:ascii="Times New Roman" w:hAnsi="Times New Roman"/>
          <w:color w:val="auto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 системе «зачёт»/«незачёт». Рекомендуемый объем сочинения − от 350 слов, минимальный – не менее 250 слов. Обучающиеся с ограниченными возможностями здоровья вместо итогового сочинения вправе выбрать написание итогового изложения.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5db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link w:val="20"/>
    <w:uiPriority w:val="9"/>
    <w:qFormat/>
    <w:rsid w:val="00e25db6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link w:val="2"/>
    <w:uiPriority w:val="9"/>
    <w:qFormat/>
    <w:rsid w:val="00e25db6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e25db6"/>
    <w:rPr>
      <w:b/>
      <w:bCs/>
    </w:rPr>
  </w:style>
  <w:style w:type="character" w:styleId="InternetLink">
    <w:name w:val="Internet Link"/>
    <w:basedOn w:val="DefaultParagraphFont"/>
    <w:uiPriority w:val="99"/>
    <w:semiHidden/>
    <w:unhideWhenUsed/>
    <w:rsid w:val="000a1a5d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 w:eastAsia="Times New Roman" w:cs="Times New Roman"/>
      <w:color w:val="1380FF"/>
      <w:sz w:val="28"/>
      <w:szCs w:val="28"/>
      <w:u w:val="single"/>
      <w:lang w:eastAsia="ru-RU"/>
    </w:rPr>
  </w:style>
  <w:style w:type="character" w:styleId="ListLabel2">
    <w:name w:val="ListLabel 2"/>
    <w:qFormat/>
    <w:rPr>
      <w:rFonts w:ascii="Times New Roman" w:hAnsi="Times New Roman" w:cs="Times New Roman"/>
      <w:color w:val="auto"/>
      <w:sz w:val="28"/>
      <w:szCs w:val="2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e25db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ipi.ru/itogovoe-sochinenie" TargetMode="External"/><Relationship Id="rId3" Type="http://schemas.openxmlformats.org/officeDocument/2006/relationships/hyperlink" Target="https://doc.fipi.ru/itogovoe-sochinenie/01_Struktura_banka_tem_sochineniy.pdf" TargetMode="External"/><Relationship Id="rId4" Type="http://schemas.openxmlformats.org/officeDocument/2006/relationships/hyperlink" Target="https://4ege.ru/sochinenie/60212-kriterii-ocenivanija-itogovogo-sochinenija.htm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Trio_Office/6.2.8.2$Windows_x86 LibreOffice_project/</Application>
  <Pages>8</Pages>
  <Words>1665</Words>
  <Characters>11827</Characters>
  <CharactersWithSpaces>13460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2024-11-01T03:43:00Z</dcterms:created>
  <dc:creator>Вилена</dc:creator>
  <dc:description/>
  <dc:language>ru-RU</dc:language>
  <cp:lastModifiedBy/>
  <dcterms:modified xsi:type="dcterms:W3CDTF">2025-12-27T15:07:06Z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